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71" w:rsidRDefault="00C145EB">
      <w:r>
        <w:t xml:space="preserve">Connecting to the </w:t>
      </w:r>
      <w:r w:rsidRPr="000C5AC6">
        <w:rPr>
          <w:i/>
        </w:rPr>
        <w:t>Next Generation Science Standards</w:t>
      </w:r>
      <w:r>
        <w:t xml:space="preserve"> (NGSS Lead States 2013) </w:t>
      </w:r>
      <w:r w:rsidR="000C5AC6">
        <w:t>as they relate to the “Measuring Albedo” lesson</w:t>
      </w:r>
    </w:p>
    <w:p w:rsidR="00571171" w:rsidRDefault="00571171"/>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685"/>
      </w:tblGrid>
      <w:tr w:rsidR="00571171">
        <w:tc>
          <w:tcPr>
            <w:tcW w:w="9350" w:type="dxa"/>
            <w:gridSpan w:val="2"/>
          </w:tcPr>
          <w:p w:rsidR="000C5AC6" w:rsidRDefault="000C5AC6" w:rsidP="000C5AC6">
            <w:pPr>
              <w:pBdr>
                <w:top w:val="nil"/>
                <w:left w:val="nil"/>
                <w:bottom w:val="nil"/>
                <w:right w:val="nil"/>
                <w:between w:val="nil"/>
              </w:pBdr>
              <w:rPr>
                <w:color w:val="000000"/>
              </w:rPr>
            </w:pPr>
            <w:r>
              <w:rPr>
                <w:b/>
                <w:color w:val="000000"/>
                <w:sz w:val="20"/>
                <w:szCs w:val="20"/>
              </w:rPr>
              <w:t>Standard</w:t>
            </w:r>
          </w:p>
          <w:p w:rsidR="000C5AC6" w:rsidRDefault="000C5AC6" w:rsidP="000C5AC6">
            <w:pPr>
              <w:pBdr>
                <w:top w:val="nil"/>
                <w:left w:val="nil"/>
                <w:bottom w:val="nil"/>
                <w:right w:val="nil"/>
                <w:between w:val="nil"/>
              </w:pBdr>
              <w:rPr>
                <w:color w:val="000000"/>
                <w:sz w:val="20"/>
                <w:szCs w:val="20"/>
              </w:rPr>
            </w:pPr>
            <w:r>
              <w:rPr>
                <w:color w:val="000000"/>
                <w:sz w:val="20"/>
                <w:szCs w:val="20"/>
              </w:rPr>
              <w:t>MS-ESS2 Earth’s Systems</w:t>
            </w:r>
          </w:p>
          <w:p w:rsidR="000C5AC6" w:rsidRDefault="000C5AC6" w:rsidP="000C5AC6">
            <w:pPr>
              <w:pBdr>
                <w:top w:val="nil"/>
                <w:left w:val="nil"/>
                <w:bottom w:val="nil"/>
                <w:right w:val="nil"/>
                <w:between w:val="nil"/>
              </w:pBdr>
              <w:rPr>
                <w:color w:val="000000"/>
                <w:sz w:val="20"/>
                <w:szCs w:val="20"/>
              </w:rPr>
            </w:pPr>
          </w:p>
          <w:p w:rsidR="000C5AC6" w:rsidRDefault="000C5AC6" w:rsidP="000C5AC6">
            <w:pPr>
              <w:pBdr>
                <w:top w:val="nil"/>
                <w:left w:val="nil"/>
                <w:bottom w:val="nil"/>
                <w:right w:val="nil"/>
                <w:between w:val="nil"/>
              </w:pBdr>
              <w:rPr>
                <w:color w:val="000000"/>
              </w:rPr>
            </w:pPr>
            <w:r>
              <w:rPr>
                <w:color w:val="000000"/>
                <w:sz w:val="20"/>
                <w:szCs w:val="20"/>
              </w:rPr>
              <w:t xml:space="preserve">The chart below makes one set of connections between the instruction outlined in this article and the </w:t>
            </w:r>
            <w:r>
              <w:rPr>
                <w:i/>
                <w:color w:val="000000"/>
                <w:sz w:val="20"/>
                <w:szCs w:val="20"/>
              </w:rPr>
              <w:t xml:space="preserve">NGSS </w:t>
            </w:r>
            <w:r>
              <w:rPr>
                <w:color w:val="000000"/>
                <w:sz w:val="20"/>
                <w:szCs w:val="20"/>
              </w:rPr>
              <w:t>as it relates to the “Measuring Albedo” lesson. Other valid connections are likely; however, space restrictions prevent us from listing all possibilities. </w:t>
            </w:r>
          </w:p>
          <w:p w:rsidR="00571171" w:rsidRDefault="00571171">
            <w:pPr>
              <w:spacing w:line="240" w:lineRule="auto"/>
            </w:pPr>
          </w:p>
          <w:p w:rsidR="00571171" w:rsidRDefault="00C145EB">
            <w:pPr>
              <w:spacing w:line="240" w:lineRule="auto"/>
              <w:rPr>
                <w:b/>
              </w:rPr>
            </w:pPr>
            <w:r>
              <w:rPr>
                <w:b/>
              </w:rPr>
              <w:t>Performance Expectation</w:t>
            </w:r>
          </w:p>
          <w:p w:rsidR="00571171" w:rsidRDefault="00571171">
            <w:pPr>
              <w:spacing w:line="240" w:lineRule="auto"/>
              <w:rPr>
                <w:b/>
              </w:rPr>
            </w:pPr>
          </w:p>
          <w:p w:rsidR="00571171" w:rsidRDefault="000C5AC6">
            <w:pPr>
              <w:spacing w:line="240" w:lineRule="auto"/>
              <w:rPr>
                <w:color w:val="000000"/>
                <w:sz w:val="20"/>
                <w:szCs w:val="20"/>
              </w:rPr>
            </w:pPr>
            <w:r>
              <w:rPr>
                <w:color w:val="000000"/>
                <w:sz w:val="20"/>
                <w:szCs w:val="20"/>
              </w:rPr>
              <w:t>MS-ESS2-1. Develop a model to describe the cycling of Earth's materials and the flow of energy that drives this process.</w:t>
            </w:r>
          </w:p>
          <w:p w:rsidR="000C5AC6" w:rsidRDefault="000C5AC6">
            <w:pPr>
              <w:spacing w:line="240" w:lineRule="auto"/>
            </w:pPr>
          </w:p>
        </w:tc>
      </w:tr>
      <w:tr w:rsidR="00571171">
        <w:tc>
          <w:tcPr>
            <w:tcW w:w="5665" w:type="dxa"/>
          </w:tcPr>
          <w:p w:rsidR="00571171" w:rsidRDefault="00C145EB">
            <w:pPr>
              <w:spacing w:line="240" w:lineRule="auto"/>
              <w:rPr>
                <w:b/>
              </w:rPr>
            </w:pPr>
            <w:r>
              <w:rPr>
                <w:b/>
              </w:rPr>
              <w:t>Dimensions</w:t>
            </w:r>
          </w:p>
        </w:tc>
        <w:tc>
          <w:tcPr>
            <w:tcW w:w="3685" w:type="dxa"/>
          </w:tcPr>
          <w:p w:rsidR="00571171" w:rsidRDefault="00C145EB">
            <w:pPr>
              <w:spacing w:line="240" w:lineRule="auto"/>
              <w:rPr>
                <w:b/>
              </w:rPr>
            </w:pPr>
            <w:r>
              <w:rPr>
                <w:b/>
              </w:rPr>
              <w:t>Classroom Connections</w:t>
            </w:r>
          </w:p>
        </w:tc>
      </w:tr>
      <w:tr w:rsidR="00571171">
        <w:tc>
          <w:tcPr>
            <w:tcW w:w="5665" w:type="dxa"/>
          </w:tcPr>
          <w:p w:rsidR="00571171" w:rsidRDefault="00C145EB">
            <w:pPr>
              <w:spacing w:line="240" w:lineRule="auto"/>
              <w:rPr>
                <w:b/>
              </w:rPr>
            </w:pPr>
            <w:r>
              <w:rPr>
                <w:b/>
              </w:rPr>
              <w:t>Science and Engineering Practices</w:t>
            </w:r>
          </w:p>
          <w:p w:rsidR="00571171" w:rsidRDefault="00571171">
            <w:pPr>
              <w:spacing w:line="240" w:lineRule="auto"/>
            </w:pPr>
          </w:p>
          <w:p w:rsidR="000C5AC6" w:rsidRDefault="000C5AC6" w:rsidP="000C5AC6">
            <w:pPr>
              <w:pBdr>
                <w:top w:val="nil"/>
                <w:left w:val="nil"/>
                <w:bottom w:val="nil"/>
                <w:right w:val="nil"/>
                <w:between w:val="nil"/>
              </w:pBdr>
              <w:rPr>
                <w:color w:val="000000"/>
              </w:rPr>
            </w:pPr>
            <w:r>
              <w:rPr>
                <w:color w:val="000000"/>
                <w:sz w:val="20"/>
                <w:szCs w:val="20"/>
              </w:rPr>
              <w:t>Planning and Carrying Out Investigations</w:t>
            </w:r>
            <w:r>
              <w:rPr>
                <w:color w:val="000000"/>
                <w:sz w:val="20"/>
                <w:szCs w:val="20"/>
              </w:rPr>
              <w:t>:</w:t>
            </w:r>
          </w:p>
          <w:p w:rsidR="000C5AC6" w:rsidRDefault="000C5AC6" w:rsidP="000C5AC6">
            <w:pPr>
              <w:spacing w:line="240" w:lineRule="auto"/>
              <w:rPr>
                <w:color w:val="000000"/>
                <w:sz w:val="20"/>
                <w:szCs w:val="20"/>
              </w:rPr>
            </w:pPr>
          </w:p>
          <w:p w:rsidR="00571171" w:rsidRDefault="000C5AC6" w:rsidP="000C5AC6">
            <w:pPr>
              <w:spacing w:line="240" w:lineRule="auto"/>
            </w:pPr>
            <w:r>
              <w:rPr>
                <w:color w:val="000000"/>
                <w:sz w:val="20"/>
                <w:szCs w:val="20"/>
              </w:rPr>
              <w:t>Collect data to produce data to serve as the basis for evidence to answer scientific questions or test design solutions under a range of conditions.</w:t>
            </w:r>
          </w:p>
        </w:tc>
        <w:tc>
          <w:tcPr>
            <w:tcW w:w="3685" w:type="dxa"/>
          </w:tcPr>
          <w:p w:rsidR="00571171" w:rsidRDefault="000C5AC6">
            <w:pPr>
              <w:spacing w:line="240" w:lineRule="auto"/>
            </w:pPr>
            <w:r>
              <w:rPr>
                <w:color w:val="000000"/>
                <w:sz w:val="20"/>
                <w:szCs w:val="20"/>
              </w:rPr>
              <w:t>Students use the “Albedo: A Reflectance App” to measure the albedo of different colored surfaces to create a rule that describes the relationship between the color of a surface and it’s albedo.</w:t>
            </w:r>
          </w:p>
        </w:tc>
      </w:tr>
      <w:tr w:rsidR="000C5AC6">
        <w:tc>
          <w:tcPr>
            <w:tcW w:w="5665" w:type="dxa"/>
          </w:tcPr>
          <w:p w:rsidR="000C5AC6" w:rsidRDefault="000C5AC6" w:rsidP="000C5AC6">
            <w:pPr>
              <w:spacing w:line="240" w:lineRule="auto"/>
              <w:rPr>
                <w:b/>
              </w:rPr>
            </w:pPr>
            <w:r>
              <w:rPr>
                <w:b/>
              </w:rPr>
              <w:t>Disciplinary Core Ideas</w:t>
            </w:r>
          </w:p>
          <w:p w:rsidR="000C5AC6" w:rsidRDefault="000C5AC6" w:rsidP="000C5AC6">
            <w:pPr>
              <w:spacing w:line="240" w:lineRule="auto"/>
            </w:pPr>
          </w:p>
          <w:p w:rsidR="000C5AC6" w:rsidRDefault="000C5AC6" w:rsidP="000C5AC6">
            <w:pPr>
              <w:pBdr>
                <w:top w:val="nil"/>
                <w:left w:val="nil"/>
                <w:bottom w:val="nil"/>
                <w:right w:val="nil"/>
                <w:between w:val="nil"/>
              </w:pBdr>
              <w:rPr>
                <w:color w:val="000000"/>
              </w:rPr>
            </w:pPr>
            <w:r>
              <w:rPr>
                <w:color w:val="000000"/>
                <w:sz w:val="20"/>
                <w:szCs w:val="20"/>
              </w:rPr>
              <w:t>ESS2.D: Weather and Climate</w:t>
            </w:r>
            <w:r>
              <w:rPr>
                <w:color w:val="000000"/>
                <w:sz w:val="20"/>
                <w:szCs w:val="20"/>
              </w:rPr>
              <w:t>:</w:t>
            </w:r>
          </w:p>
          <w:p w:rsidR="000C5AC6" w:rsidRDefault="000C5AC6" w:rsidP="000C5AC6">
            <w:pPr>
              <w:spacing w:line="240" w:lineRule="auto"/>
              <w:rPr>
                <w:color w:val="000000"/>
                <w:sz w:val="20"/>
                <w:szCs w:val="20"/>
              </w:rPr>
            </w:pPr>
          </w:p>
          <w:p w:rsidR="000C5AC6" w:rsidRDefault="000C5AC6" w:rsidP="000C5AC6">
            <w:pPr>
              <w:spacing w:line="240" w:lineRule="auto"/>
            </w:pPr>
            <w:r>
              <w:rPr>
                <w:color w:val="000000"/>
                <w:sz w:val="20"/>
                <w:szCs w:val="20"/>
              </w:rPr>
              <w:t>Weather and climate are influenced by interactions involving sunlight, the ocean, the atmosphere, ice, landforms, and living things. These interactions vary with latitude, altitude, and local and regional geography, all of which can affect oceanic and atmospheric flow patterns.</w:t>
            </w:r>
          </w:p>
        </w:tc>
        <w:tc>
          <w:tcPr>
            <w:tcW w:w="3685" w:type="dxa"/>
          </w:tcPr>
          <w:p w:rsidR="000C5AC6" w:rsidRDefault="000C5AC6" w:rsidP="000C5AC6">
            <w:pPr>
              <w:pBdr>
                <w:top w:val="nil"/>
                <w:left w:val="nil"/>
                <w:bottom w:val="nil"/>
                <w:right w:val="nil"/>
                <w:between w:val="nil"/>
              </w:pBdr>
              <w:rPr>
                <w:rFonts w:ascii="Calibri" w:eastAsia="Calibri" w:hAnsi="Calibri" w:cs="Calibri"/>
                <w:color w:val="000000"/>
              </w:rPr>
            </w:pPr>
            <w:r>
              <w:rPr>
                <w:color w:val="000000"/>
                <w:sz w:val="20"/>
                <w:szCs w:val="20"/>
              </w:rPr>
              <w:t>Students learn that energy from the Sun is reflected or absorbed by the Earth’s surface. Lighter colored surfaces (sea ice) reflect more of the Sun’s energy than darker colored surfaces (ocean) like the ocean. Energy that is not reflected by a surface is absorbed, which explains why the ice cube on the darker colored surface melts more quickly than the ice cube on the lighter colored surface.</w:t>
            </w:r>
          </w:p>
        </w:tc>
      </w:tr>
      <w:tr w:rsidR="000C5AC6">
        <w:tc>
          <w:tcPr>
            <w:tcW w:w="5665" w:type="dxa"/>
          </w:tcPr>
          <w:p w:rsidR="000C5AC6" w:rsidRDefault="000C5AC6" w:rsidP="000C5AC6">
            <w:pPr>
              <w:spacing w:line="240" w:lineRule="auto"/>
              <w:rPr>
                <w:b/>
              </w:rPr>
            </w:pPr>
            <w:r>
              <w:rPr>
                <w:b/>
              </w:rPr>
              <w:t>Crosscutting Concepts</w:t>
            </w:r>
          </w:p>
          <w:p w:rsidR="000C5AC6" w:rsidRDefault="000C5AC6" w:rsidP="000C5AC6">
            <w:pPr>
              <w:spacing w:line="240" w:lineRule="auto"/>
            </w:pPr>
          </w:p>
          <w:p w:rsidR="000C5AC6" w:rsidRDefault="000C5AC6" w:rsidP="000C5AC6">
            <w:pPr>
              <w:pBdr>
                <w:top w:val="nil"/>
                <w:left w:val="nil"/>
                <w:bottom w:val="nil"/>
                <w:right w:val="nil"/>
                <w:between w:val="nil"/>
              </w:pBdr>
              <w:rPr>
                <w:color w:val="000000"/>
                <w:sz w:val="20"/>
                <w:szCs w:val="20"/>
              </w:rPr>
            </w:pPr>
            <w:r>
              <w:rPr>
                <w:color w:val="000000"/>
                <w:sz w:val="20"/>
                <w:szCs w:val="20"/>
              </w:rPr>
              <w:t>Energy and Matter</w:t>
            </w:r>
            <w:r>
              <w:rPr>
                <w:color w:val="000000"/>
                <w:sz w:val="20"/>
                <w:szCs w:val="20"/>
              </w:rPr>
              <w:t>:</w:t>
            </w:r>
          </w:p>
          <w:p w:rsidR="000C5AC6" w:rsidRDefault="000C5AC6" w:rsidP="000C5AC6">
            <w:pPr>
              <w:pBdr>
                <w:top w:val="nil"/>
                <w:left w:val="nil"/>
                <w:bottom w:val="nil"/>
                <w:right w:val="nil"/>
                <w:between w:val="nil"/>
              </w:pBdr>
              <w:rPr>
                <w:color w:val="000000"/>
              </w:rPr>
            </w:pPr>
          </w:p>
          <w:p w:rsidR="000C5AC6" w:rsidRDefault="000C5AC6" w:rsidP="000C5AC6">
            <w:pPr>
              <w:spacing w:line="240" w:lineRule="auto"/>
            </w:pPr>
            <w:r>
              <w:rPr>
                <w:color w:val="000000"/>
                <w:sz w:val="20"/>
                <w:szCs w:val="20"/>
              </w:rPr>
              <w:t>Within a natural or designed system, the transfer of energy drives the motion and/or cycling of matter.</w:t>
            </w:r>
          </w:p>
        </w:tc>
        <w:tc>
          <w:tcPr>
            <w:tcW w:w="3685" w:type="dxa"/>
          </w:tcPr>
          <w:p w:rsidR="000C5AC6" w:rsidRDefault="000C5AC6" w:rsidP="000C5AC6">
            <w:pPr>
              <w:spacing w:line="240" w:lineRule="auto"/>
            </w:pPr>
            <w:r>
              <w:rPr>
                <w:color w:val="000000"/>
                <w:sz w:val="20"/>
                <w:szCs w:val="20"/>
              </w:rPr>
              <w:t>Students learn that the Sun’s energy is reflected or absorbed by the Earth’s surface.</w:t>
            </w:r>
          </w:p>
        </w:tc>
      </w:tr>
      <w:tr w:rsidR="000C5AC6">
        <w:tc>
          <w:tcPr>
            <w:tcW w:w="5665" w:type="dxa"/>
          </w:tcPr>
          <w:p w:rsidR="000C5AC6" w:rsidRPr="000C5AC6" w:rsidRDefault="000C5AC6" w:rsidP="000C5AC6">
            <w:pPr>
              <w:pBdr>
                <w:top w:val="nil"/>
                <w:left w:val="nil"/>
                <w:bottom w:val="nil"/>
                <w:right w:val="nil"/>
                <w:between w:val="nil"/>
              </w:pBdr>
              <w:rPr>
                <w:b/>
                <w:color w:val="000000"/>
                <w:sz w:val="20"/>
                <w:szCs w:val="20"/>
              </w:rPr>
            </w:pPr>
            <w:r w:rsidRPr="000C5AC6">
              <w:rPr>
                <w:b/>
                <w:color w:val="000000"/>
                <w:sz w:val="20"/>
                <w:szCs w:val="20"/>
              </w:rPr>
              <w:t>Connections to Nature of Science</w:t>
            </w:r>
          </w:p>
          <w:p w:rsidR="000C5AC6" w:rsidRDefault="000C5AC6" w:rsidP="000C5AC6">
            <w:pPr>
              <w:pBdr>
                <w:top w:val="nil"/>
                <w:left w:val="nil"/>
                <w:bottom w:val="nil"/>
                <w:right w:val="nil"/>
                <w:between w:val="nil"/>
              </w:pBdr>
              <w:rPr>
                <w:color w:val="000000"/>
                <w:sz w:val="20"/>
                <w:szCs w:val="20"/>
              </w:rPr>
            </w:pPr>
          </w:p>
          <w:p w:rsidR="000C5AC6" w:rsidRDefault="000C5AC6" w:rsidP="000C5AC6">
            <w:pPr>
              <w:pBdr>
                <w:top w:val="nil"/>
                <w:left w:val="nil"/>
                <w:bottom w:val="nil"/>
                <w:right w:val="nil"/>
                <w:between w:val="nil"/>
              </w:pBdr>
              <w:rPr>
                <w:color w:val="000000"/>
                <w:sz w:val="20"/>
                <w:szCs w:val="20"/>
              </w:rPr>
            </w:pPr>
            <w:r>
              <w:rPr>
                <w:color w:val="000000"/>
                <w:sz w:val="20"/>
                <w:szCs w:val="20"/>
              </w:rPr>
              <w:t>Scientific Knowledge is Based on Empirical Evidence</w:t>
            </w:r>
            <w:r>
              <w:rPr>
                <w:color w:val="000000"/>
                <w:sz w:val="20"/>
                <w:szCs w:val="20"/>
              </w:rPr>
              <w:t>:</w:t>
            </w:r>
          </w:p>
          <w:p w:rsidR="000C5AC6" w:rsidRDefault="000C5AC6" w:rsidP="000C5AC6">
            <w:pPr>
              <w:pBdr>
                <w:top w:val="nil"/>
                <w:left w:val="nil"/>
                <w:bottom w:val="nil"/>
                <w:right w:val="nil"/>
                <w:between w:val="nil"/>
              </w:pBdr>
              <w:rPr>
                <w:color w:val="000000"/>
              </w:rPr>
            </w:pPr>
          </w:p>
          <w:p w:rsidR="000C5AC6" w:rsidRDefault="000C5AC6" w:rsidP="000C5AC6">
            <w:pPr>
              <w:spacing w:line="240" w:lineRule="auto"/>
              <w:rPr>
                <w:b/>
              </w:rPr>
            </w:pPr>
            <w:r>
              <w:rPr>
                <w:color w:val="000000"/>
                <w:sz w:val="20"/>
                <w:szCs w:val="20"/>
              </w:rPr>
              <w:t>Science knowledge is based upon logical and conceptual connections between evidence and explanations.</w:t>
            </w:r>
          </w:p>
        </w:tc>
        <w:tc>
          <w:tcPr>
            <w:tcW w:w="3685" w:type="dxa"/>
          </w:tcPr>
          <w:p w:rsidR="000C5AC6" w:rsidRDefault="000C5AC6" w:rsidP="000C5AC6">
            <w:pPr>
              <w:spacing w:line="240" w:lineRule="auto"/>
              <w:rPr>
                <w:color w:val="000000"/>
                <w:sz w:val="20"/>
                <w:szCs w:val="20"/>
              </w:rPr>
            </w:pPr>
            <w:r>
              <w:rPr>
                <w:color w:val="000000"/>
                <w:sz w:val="20"/>
                <w:szCs w:val="20"/>
              </w:rPr>
              <w:t>Students gather evidence and new understandings through lesson engagements to explain how a decline in sea ice will affect the Arctic’s albedo and lead to more melting of sea ice.</w:t>
            </w:r>
          </w:p>
        </w:tc>
      </w:tr>
    </w:tbl>
    <w:p w:rsidR="00571171" w:rsidRDefault="00571171"/>
    <w:p w:rsidR="000C5AC6" w:rsidRDefault="000C5AC6" w:rsidP="000C5AC6">
      <w:pPr>
        <w:pBdr>
          <w:top w:val="nil"/>
          <w:left w:val="nil"/>
          <w:bottom w:val="nil"/>
          <w:right w:val="nil"/>
          <w:between w:val="nil"/>
        </w:pBdr>
        <w:rPr>
          <w:b/>
          <w:color w:val="000000"/>
        </w:rPr>
      </w:pPr>
    </w:p>
    <w:p w:rsidR="000C5AC6" w:rsidRDefault="000C5AC6" w:rsidP="000C5AC6">
      <w:pPr>
        <w:pBdr>
          <w:top w:val="nil"/>
          <w:left w:val="nil"/>
          <w:bottom w:val="nil"/>
          <w:right w:val="nil"/>
          <w:between w:val="nil"/>
        </w:pBdr>
        <w:rPr>
          <w:b/>
          <w:color w:val="000000"/>
        </w:rPr>
      </w:pPr>
    </w:p>
    <w:p w:rsidR="000C5AC6" w:rsidRDefault="000C5AC6" w:rsidP="000C5AC6">
      <w:pPr>
        <w:pBdr>
          <w:top w:val="nil"/>
          <w:left w:val="nil"/>
          <w:bottom w:val="nil"/>
          <w:right w:val="nil"/>
          <w:between w:val="nil"/>
        </w:pBdr>
        <w:rPr>
          <w:color w:val="000000"/>
        </w:rPr>
      </w:pPr>
      <w:bookmarkStart w:id="0" w:name="_GoBack"/>
      <w:bookmarkEnd w:id="0"/>
      <w:r>
        <w:rPr>
          <w:b/>
          <w:color w:val="000000"/>
        </w:rPr>
        <w:lastRenderedPageBreak/>
        <w:t xml:space="preserve">Connections to the </w:t>
      </w:r>
      <w:r>
        <w:rPr>
          <w:b/>
          <w:i/>
          <w:color w:val="000000"/>
        </w:rPr>
        <w:t xml:space="preserve">Common Core State Standards </w:t>
      </w:r>
      <w:r>
        <w:rPr>
          <w:b/>
          <w:color w:val="000000"/>
        </w:rPr>
        <w:t>(NGAC and CCSSO 2010)</w:t>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340"/>
      </w:tblGrid>
      <w:tr w:rsidR="000C5AC6" w:rsidTr="001821D1">
        <w:trPr>
          <w:trHeight w:val="1305"/>
        </w:trPr>
        <w:tc>
          <w:tcPr>
            <w:tcW w:w="93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5AC6" w:rsidRDefault="000C5AC6" w:rsidP="001821D1">
            <w:pPr>
              <w:pBdr>
                <w:top w:val="nil"/>
                <w:left w:val="nil"/>
                <w:bottom w:val="nil"/>
                <w:right w:val="nil"/>
                <w:between w:val="nil"/>
              </w:pBdr>
              <w:rPr>
                <w:color w:val="000000"/>
              </w:rPr>
            </w:pPr>
            <w:r>
              <w:rPr>
                <w:b/>
                <w:color w:val="000000"/>
                <w:sz w:val="20"/>
                <w:szCs w:val="20"/>
              </w:rPr>
              <w:t>ELA</w:t>
            </w:r>
          </w:p>
          <w:p w:rsidR="000C5AC6" w:rsidRDefault="000C5AC6" w:rsidP="000C5AC6">
            <w:pPr>
              <w:numPr>
                <w:ilvl w:val="0"/>
                <w:numId w:val="1"/>
              </w:numPr>
              <w:pBdr>
                <w:top w:val="nil"/>
                <w:left w:val="nil"/>
                <w:bottom w:val="nil"/>
                <w:right w:val="nil"/>
                <w:between w:val="nil"/>
              </w:pBdr>
              <w:spacing w:line="240" w:lineRule="auto"/>
              <w:rPr>
                <w:color w:val="000000"/>
              </w:rPr>
            </w:pPr>
            <w:hyperlink r:id="rId5">
              <w:r>
                <w:rPr>
                  <w:color w:val="000000"/>
                  <w:sz w:val="20"/>
                  <w:szCs w:val="20"/>
                  <w:u w:val="single"/>
                </w:rPr>
                <w:t>CCSS.ELA-LITERACY.WHST.6-8.1.B:</w:t>
              </w:r>
            </w:hyperlink>
            <w:r>
              <w:rPr>
                <w:color w:val="000000"/>
                <w:sz w:val="20"/>
                <w:szCs w:val="20"/>
                <w:u w:val="single"/>
              </w:rPr>
              <w:t xml:space="preserve"> </w:t>
            </w:r>
            <w:r>
              <w:rPr>
                <w:color w:val="000000"/>
                <w:sz w:val="20"/>
                <w:szCs w:val="20"/>
              </w:rPr>
              <w:t>Support claim(s) with logical reasoning and relevant, accurate data and evidence that demonstrate an understanding of the topic or text, using credible sources.</w:t>
            </w:r>
          </w:p>
        </w:tc>
      </w:tr>
      <w:tr w:rsidR="000C5AC6" w:rsidTr="001821D1">
        <w:trPr>
          <w:trHeight w:val="1050"/>
        </w:trPr>
        <w:tc>
          <w:tcPr>
            <w:tcW w:w="93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5AC6" w:rsidRDefault="000C5AC6" w:rsidP="001821D1">
            <w:pPr>
              <w:pBdr>
                <w:top w:val="nil"/>
                <w:left w:val="nil"/>
                <w:bottom w:val="nil"/>
                <w:right w:val="nil"/>
                <w:between w:val="nil"/>
              </w:pBdr>
              <w:rPr>
                <w:color w:val="000000"/>
              </w:rPr>
            </w:pPr>
            <w:r>
              <w:rPr>
                <w:b/>
                <w:color w:val="000000"/>
                <w:sz w:val="20"/>
                <w:szCs w:val="20"/>
              </w:rPr>
              <w:t>Mathematics</w:t>
            </w:r>
          </w:p>
          <w:p w:rsidR="000C5AC6" w:rsidRDefault="000C5AC6" w:rsidP="000C5AC6">
            <w:pPr>
              <w:numPr>
                <w:ilvl w:val="0"/>
                <w:numId w:val="2"/>
              </w:numPr>
              <w:pBdr>
                <w:top w:val="nil"/>
                <w:left w:val="nil"/>
                <w:bottom w:val="nil"/>
                <w:right w:val="nil"/>
                <w:between w:val="nil"/>
              </w:pBdr>
              <w:spacing w:line="240" w:lineRule="auto"/>
              <w:rPr>
                <w:color w:val="000000"/>
              </w:rPr>
            </w:pPr>
            <w:hyperlink r:id="rId6">
              <w:r>
                <w:rPr>
                  <w:color w:val="000000"/>
                  <w:sz w:val="20"/>
                  <w:szCs w:val="20"/>
                  <w:u w:val="single"/>
                </w:rPr>
                <w:t>CCSS.MATH.CONTENT.8.F.B.5:</w:t>
              </w:r>
            </w:hyperlink>
            <w:r>
              <w:rPr>
                <w:color w:val="000000"/>
                <w:sz w:val="20"/>
                <w:szCs w:val="20"/>
                <w:u w:val="single"/>
              </w:rPr>
              <w:t xml:space="preserve"> </w:t>
            </w:r>
            <w:r>
              <w:rPr>
                <w:color w:val="000000"/>
                <w:sz w:val="20"/>
                <w:szCs w:val="20"/>
              </w:rPr>
              <w:t>Describe qualitatively the functional relationship between two quantities by analyzing a graph.</w:t>
            </w:r>
          </w:p>
        </w:tc>
      </w:tr>
    </w:tbl>
    <w:p w:rsidR="000C5AC6" w:rsidRDefault="000C5AC6" w:rsidP="000C5AC6">
      <w:pPr>
        <w:widowControl w:val="0"/>
        <w:pBdr>
          <w:top w:val="nil"/>
          <w:left w:val="nil"/>
          <w:bottom w:val="nil"/>
          <w:right w:val="nil"/>
          <w:between w:val="nil"/>
        </w:pBdr>
        <w:rPr>
          <w:color w:val="000000"/>
        </w:rPr>
      </w:pPr>
    </w:p>
    <w:p w:rsidR="000C5AC6" w:rsidRDefault="000C5AC6" w:rsidP="000C5AC6"/>
    <w:p w:rsidR="00571171" w:rsidRDefault="00571171"/>
    <w:p w:rsidR="00571171" w:rsidRDefault="00571171">
      <w:pPr>
        <w:spacing w:line="240" w:lineRule="auto"/>
        <w:ind w:left="720"/>
      </w:pPr>
      <w:bookmarkStart w:id="1" w:name="_gjdgxs" w:colFirst="0" w:colLast="0"/>
      <w:bookmarkEnd w:id="1"/>
    </w:p>
    <w:p w:rsidR="00571171" w:rsidRDefault="00571171"/>
    <w:sectPr w:rsidR="005711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63AD"/>
    <w:multiLevelType w:val="multilevel"/>
    <w:tmpl w:val="51106622"/>
    <w:lvl w:ilvl="0">
      <w:start w:val="1"/>
      <w:numFmt w:val="bullet"/>
      <w:lvlText w:val="●"/>
      <w:lvlJc w:val="left"/>
      <w:pPr>
        <w:ind w:left="720" w:hanging="360"/>
      </w:pPr>
      <w:rPr>
        <w:rFonts w:ascii="Noto Sans Symbols" w:eastAsia="Noto Sans Symbols" w:hAnsi="Noto Sans Symbols" w:cs="Noto Sans Symbols"/>
        <w:b w:val="0"/>
        <w:i w:val="0"/>
        <w:smallCaps w:val="0"/>
        <w:strike w:val="0"/>
        <w:sz w:val="17"/>
        <w:szCs w:val="17"/>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17"/>
        <w:szCs w:val="17"/>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17"/>
        <w:szCs w:val="17"/>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17"/>
        <w:szCs w:val="17"/>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17"/>
        <w:szCs w:val="17"/>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17"/>
        <w:szCs w:val="17"/>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17"/>
        <w:szCs w:val="17"/>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17"/>
        <w:szCs w:val="17"/>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17"/>
        <w:szCs w:val="17"/>
        <w:shd w:val="clear" w:color="auto" w:fill="auto"/>
        <w:vertAlign w:val="baseline"/>
      </w:rPr>
    </w:lvl>
  </w:abstractNum>
  <w:abstractNum w:abstractNumId="1" w15:restartNumberingAfterBreak="0">
    <w:nsid w:val="229C7BCD"/>
    <w:multiLevelType w:val="multilevel"/>
    <w:tmpl w:val="96CC8604"/>
    <w:lvl w:ilvl="0">
      <w:start w:val="1"/>
      <w:numFmt w:val="bullet"/>
      <w:lvlText w:val="●"/>
      <w:lvlJc w:val="left"/>
      <w:pPr>
        <w:ind w:left="720" w:hanging="360"/>
      </w:pPr>
      <w:rPr>
        <w:rFonts w:ascii="Noto Sans Symbols" w:eastAsia="Noto Sans Symbols" w:hAnsi="Noto Sans Symbols" w:cs="Noto Sans Symbols"/>
        <w:b w:val="0"/>
        <w:i w:val="0"/>
        <w:smallCaps w:val="0"/>
        <w:strike w:val="0"/>
        <w:sz w:val="17"/>
        <w:szCs w:val="17"/>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17"/>
        <w:szCs w:val="17"/>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17"/>
        <w:szCs w:val="17"/>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17"/>
        <w:szCs w:val="17"/>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17"/>
        <w:szCs w:val="17"/>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17"/>
        <w:szCs w:val="17"/>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17"/>
        <w:szCs w:val="17"/>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17"/>
        <w:szCs w:val="17"/>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17"/>
        <w:szCs w:val="17"/>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71"/>
    <w:rsid w:val="000C5AC6"/>
    <w:rsid w:val="00571171"/>
    <w:rsid w:val="00C145EB"/>
    <w:rsid w:val="00D2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1714"/>
  <w15:docId w15:val="{33E0671C-AD48-401D-BDDA-7EF7EBDA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estandards.org/Math/Content/8/F/B/5/" TargetMode="External"/><Relationship Id="rId5" Type="http://schemas.openxmlformats.org/officeDocument/2006/relationships/hyperlink" Target="http://www.corestandards.org/ELA-Literacy/WHST/6-8/1/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Barnes</dc:creator>
  <cp:lastModifiedBy>Caroline Barnes</cp:lastModifiedBy>
  <cp:revision>2</cp:revision>
  <dcterms:created xsi:type="dcterms:W3CDTF">2021-02-24T16:43:00Z</dcterms:created>
  <dcterms:modified xsi:type="dcterms:W3CDTF">2021-02-24T16:43:00Z</dcterms:modified>
</cp:coreProperties>
</file>